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4DA3" w:rsidRDefault="004E4DA3"/>
    <w:p w:rsidR="004E4DA3" w:rsidRDefault="004E4DA3"/>
    <w:p w:rsidR="004E4DA3" w:rsidRDefault="004E4DA3"/>
    <w:p w:rsidR="004E4DA3" w:rsidRDefault="004E4DA3"/>
    <w:p w:rsidR="004E4DA3" w:rsidRDefault="004E4DA3"/>
    <w:p w:rsidR="004E4DA3" w:rsidRDefault="004E4DA3"/>
    <w:p w:rsidR="004E4DA3" w:rsidRDefault="004E4DA3"/>
    <w:p w:rsidR="004E4DA3" w:rsidRDefault="004E4DA3"/>
    <w:p w:rsidR="004E4DA3" w:rsidRDefault="004E4DA3"/>
    <w:p w:rsidR="004E4DA3" w:rsidRDefault="004E4DA3"/>
    <w:p w:rsidR="004E4DA3" w:rsidRPr="008638C6" w:rsidRDefault="00303DC0" w:rsidP="004E4DA3">
      <w:pPr>
        <w:spacing w:after="0" w:line="480"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H &amp; P Case Study</w:t>
      </w:r>
    </w:p>
    <w:p w:rsidR="004E4DA3" w:rsidRDefault="00303DC0" w:rsidP="004E4DA3">
      <w:pPr>
        <w:spacing w:after="0"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Student Name</w:t>
      </w:r>
    </w:p>
    <w:p w:rsidR="004E4DA3" w:rsidRDefault="00303DC0" w:rsidP="004E4DA3">
      <w:pPr>
        <w:spacing w:after="0"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Institution Affiliation</w:t>
      </w:r>
    </w:p>
    <w:p w:rsidR="004E4DA3" w:rsidRDefault="00303DC0" w:rsidP="004E4DA3">
      <w:pPr>
        <w:spacing w:after="0" w:line="480" w:lineRule="auto"/>
        <w:jc w:val="center"/>
        <w:rPr>
          <w:rFonts w:ascii="Times New Roman" w:hAnsi="Times New Roman" w:cs="Times New Roman"/>
          <w:sz w:val="24"/>
          <w:szCs w:val="24"/>
        </w:rPr>
      </w:pPr>
      <w:r>
        <w:rPr>
          <w:rFonts w:ascii="Times New Roman" w:hAnsi="Times New Roman" w:cs="Times New Roman"/>
          <w:color w:val="000000" w:themeColor="text1"/>
          <w:sz w:val="24"/>
          <w:szCs w:val="24"/>
        </w:rPr>
        <w:t>Date</w:t>
      </w:r>
    </w:p>
    <w:p w:rsidR="004E4DA3" w:rsidRDefault="004E4DA3" w:rsidP="004E4DA3">
      <w:pPr>
        <w:jc w:val="center"/>
      </w:pPr>
    </w:p>
    <w:p w:rsidR="004E4DA3" w:rsidRDefault="004E4DA3"/>
    <w:p w:rsidR="004E4DA3" w:rsidRDefault="004E4DA3"/>
    <w:p w:rsidR="004E4DA3" w:rsidRDefault="004E4DA3"/>
    <w:p w:rsidR="004E4DA3" w:rsidRDefault="004E4DA3"/>
    <w:p w:rsidR="004E4DA3" w:rsidRDefault="004E4DA3"/>
    <w:p w:rsidR="004E4DA3" w:rsidRDefault="004E4DA3"/>
    <w:p w:rsidR="004E4DA3" w:rsidRDefault="004E4DA3"/>
    <w:p w:rsidR="004E4DA3" w:rsidRDefault="004E4DA3"/>
    <w:p w:rsidR="004E4DA3" w:rsidRDefault="004E4DA3"/>
    <w:p w:rsidR="004E4DA3" w:rsidRDefault="004E4DA3"/>
    <w:p w:rsidR="004E4DA3" w:rsidRDefault="004E4DA3"/>
    <w:p w:rsidR="004E4DA3" w:rsidRDefault="004E4DA3"/>
    <w:p w:rsidR="004E4DA3" w:rsidRDefault="004E4DA3"/>
    <w:p w:rsidR="004E4DA3" w:rsidRDefault="004E4DA3"/>
    <w:p w:rsidR="004E4DA3" w:rsidRDefault="004E4DA3"/>
    <w:p w:rsidR="004E4DA3" w:rsidRPr="004E4DA3" w:rsidRDefault="00303DC0" w:rsidP="004E4DA3">
      <w:pPr>
        <w:spacing w:line="480" w:lineRule="auto"/>
        <w:jc w:val="center"/>
        <w:rPr>
          <w:rFonts w:ascii="Times New Roman" w:hAnsi="Times New Roman" w:cs="Times New Roman"/>
          <w:b/>
          <w:bCs/>
          <w:color w:val="000000" w:themeColor="text1"/>
          <w:sz w:val="24"/>
          <w:szCs w:val="24"/>
        </w:rPr>
      </w:pPr>
      <w:r w:rsidRPr="004E4DA3">
        <w:rPr>
          <w:rFonts w:ascii="Times New Roman" w:hAnsi="Times New Roman" w:cs="Times New Roman"/>
          <w:b/>
          <w:bCs/>
          <w:color w:val="000000" w:themeColor="text1"/>
          <w:sz w:val="24"/>
          <w:szCs w:val="24"/>
        </w:rPr>
        <w:lastRenderedPageBreak/>
        <w:t>H &amp; P Case Study</w:t>
      </w:r>
    </w:p>
    <w:p w:rsidR="008F24F8" w:rsidRPr="004E4DA3" w:rsidRDefault="00303DC0" w:rsidP="004E4DA3">
      <w:pPr>
        <w:spacing w:line="480" w:lineRule="auto"/>
        <w:ind w:firstLine="851"/>
        <w:rPr>
          <w:rFonts w:ascii="Times New Roman" w:hAnsi="Times New Roman" w:cs="Times New Roman"/>
          <w:color w:val="000000" w:themeColor="text1"/>
          <w:sz w:val="24"/>
          <w:szCs w:val="24"/>
        </w:rPr>
      </w:pPr>
      <w:r w:rsidRPr="004E4DA3">
        <w:rPr>
          <w:rFonts w:ascii="Times New Roman" w:hAnsi="Times New Roman" w:cs="Times New Roman"/>
          <w:color w:val="000000" w:themeColor="text1"/>
          <w:sz w:val="24"/>
          <w:szCs w:val="24"/>
        </w:rPr>
        <w:t>Documentation is a significant element in the management of the patient. In the nursing field, what is not documented is considered not done. Proper documentation of the patient</w:t>
      </w:r>
      <w:r w:rsidR="00A03F77">
        <w:rPr>
          <w:rFonts w:ascii="Times New Roman" w:hAnsi="Times New Roman" w:cs="Times New Roman"/>
          <w:color w:val="000000" w:themeColor="text1"/>
          <w:sz w:val="24"/>
          <w:szCs w:val="24"/>
        </w:rPr>
        <w:t xml:space="preserve"> data</w:t>
      </w:r>
      <w:r w:rsidRPr="004E4DA3">
        <w:rPr>
          <w:rFonts w:ascii="Times New Roman" w:hAnsi="Times New Roman" w:cs="Times New Roman"/>
          <w:color w:val="000000" w:themeColor="text1"/>
          <w:sz w:val="24"/>
          <w:szCs w:val="24"/>
        </w:rPr>
        <w:t xml:space="preserve"> provides effective management and enhances the storage</w:t>
      </w:r>
      <w:r w:rsidR="00BF6E44">
        <w:rPr>
          <w:rFonts w:ascii="Times New Roman" w:hAnsi="Times New Roman" w:cs="Times New Roman"/>
          <w:color w:val="000000" w:themeColor="text1"/>
          <w:sz w:val="24"/>
          <w:szCs w:val="24"/>
        </w:rPr>
        <w:t xml:space="preserve"> of information</w:t>
      </w:r>
      <w:r w:rsidRPr="004E4DA3">
        <w:rPr>
          <w:rFonts w:ascii="Times New Roman" w:hAnsi="Times New Roman" w:cs="Times New Roman"/>
          <w:color w:val="000000" w:themeColor="text1"/>
          <w:sz w:val="24"/>
          <w:szCs w:val="24"/>
        </w:rPr>
        <w:t xml:space="preserve"> for future references such </w:t>
      </w:r>
      <w:r w:rsidR="0059757C">
        <w:rPr>
          <w:rFonts w:ascii="Times New Roman" w:hAnsi="Times New Roman" w:cs="Times New Roman"/>
          <w:color w:val="000000" w:themeColor="text1"/>
          <w:sz w:val="24"/>
          <w:szCs w:val="24"/>
        </w:rPr>
        <w:t>as legal purposes. History and p</w:t>
      </w:r>
      <w:r w:rsidRPr="004E4DA3">
        <w:rPr>
          <w:rFonts w:ascii="Times New Roman" w:hAnsi="Times New Roman" w:cs="Times New Roman"/>
          <w:color w:val="000000" w:themeColor="text1"/>
          <w:sz w:val="24"/>
          <w:szCs w:val="24"/>
        </w:rPr>
        <w:t>hysical examination should be documented thoroughly following the guidelines provided to ensure that all the information and findings concerning the diagnosis of the patent are well presented. Well-documented history and physical examination provide the chance for understanding the problem and the patient's needs, which leads to effective treatment.</w:t>
      </w:r>
    </w:p>
    <w:p w:rsidR="008F24F8" w:rsidRPr="004E4DA3" w:rsidRDefault="00303DC0" w:rsidP="004E4DA3">
      <w:pPr>
        <w:pStyle w:val="NormalWeb"/>
        <w:numPr>
          <w:ilvl w:val="0"/>
          <w:numId w:val="2"/>
        </w:numPr>
        <w:spacing w:before="0" w:beforeAutospacing="0" w:afterAutospacing="0" w:line="480" w:lineRule="auto"/>
        <w:ind w:firstLine="0"/>
        <w:rPr>
          <w:b/>
          <w:bCs/>
          <w:color w:val="000000" w:themeColor="text1"/>
        </w:rPr>
      </w:pPr>
      <w:r w:rsidRPr="004E4DA3">
        <w:rPr>
          <w:b/>
          <w:bCs/>
          <w:color w:val="000000" w:themeColor="text1"/>
        </w:rPr>
        <w:t>Does this document meet the CMS guidelines for documentation of a comprehensive history and physical? Why or why not? Be specific.</w:t>
      </w:r>
    </w:p>
    <w:p w:rsidR="008F24F8" w:rsidRPr="004E4DA3" w:rsidRDefault="00303DC0" w:rsidP="004E4DA3">
      <w:pPr>
        <w:pStyle w:val="NormalWeb"/>
        <w:spacing w:before="0" w:beforeAutospacing="0" w:afterAutospacing="0" w:line="480" w:lineRule="auto"/>
        <w:ind w:firstLine="851"/>
        <w:rPr>
          <w:color w:val="000000" w:themeColor="text1"/>
        </w:rPr>
      </w:pPr>
      <w:r w:rsidRPr="004E4DA3">
        <w:rPr>
          <w:color w:val="000000" w:themeColor="text1"/>
        </w:rPr>
        <w:t xml:space="preserve">The document presented meets the requirements provided by the CMS guidelines for documentation of history and physical examination. </w:t>
      </w:r>
      <w:r w:rsidR="00F0725E" w:rsidRPr="004E4DA3">
        <w:rPr>
          <w:color w:val="000000" w:themeColor="text1"/>
        </w:rPr>
        <w:t>The CMS guidelines for the history and physical examination provide that documentation should follow a SOAP (subjective, objective, assessment, and plan of care) format</w:t>
      </w:r>
      <w:r w:rsidR="00697B38" w:rsidRPr="004E4DA3">
        <w:rPr>
          <w:color w:val="000000" w:themeColor="text1"/>
        </w:rPr>
        <w:t xml:space="preserve"> (</w:t>
      </w:r>
      <w:r w:rsidR="00697B38" w:rsidRPr="004E4DA3">
        <w:rPr>
          <w:color w:val="000000" w:themeColor="text1"/>
          <w:shd w:val="clear" w:color="auto" w:fill="FFFFFF"/>
        </w:rPr>
        <w:t>Cms.gov, 2020)</w:t>
      </w:r>
      <w:r w:rsidR="00F0725E" w:rsidRPr="004E4DA3">
        <w:rPr>
          <w:color w:val="000000" w:themeColor="text1"/>
        </w:rPr>
        <w:t>. In the document, the SOAP format is well provided as the initial information provides the patient's subjective data, such as name, age, and gender. Under the subjective data, history is obtained from the patient. Also, the review of systems reiterated by the patient is well developed. The objective data is provided through a physical assessment report. The assessment part provides a differential diagnosis for the patient. The plan of care is also presented as the last part of the document.</w:t>
      </w:r>
    </w:p>
    <w:p w:rsidR="008F24F8" w:rsidRPr="004E4DA3" w:rsidRDefault="00303DC0" w:rsidP="004E4DA3">
      <w:pPr>
        <w:pStyle w:val="NormalWeb"/>
        <w:numPr>
          <w:ilvl w:val="0"/>
          <w:numId w:val="2"/>
        </w:numPr>
        <w:spacing w:before="0" w:beforeAutospacing="0" w:afterAutospacing="0" w:line="480" w:lineRule="auto"/>
        <w:ind w:firstLine="0"/>
        <w:rPr>
          <w:b/>
          <w:bCs/>
          <w:color w:val="000000" w:themeColor="text1"/>
        </w:rPr>
      </w:pPr>
      <w:r w:rsidRPr="004E4DA3">
        <w:rPr>
          <w:b/>
          <w:bCs/>
          <w:color w:val="000000" w:themeColor="text1"/>
        </w:rPr>
        <w:t>Critically analyze the H&amp;P and list any errors. Identify the strengths of the H&amp;P.</w:t>
      </w:r>
    </w:p>
    <w:p w:rsidR="0059757C" w:rsidRDefault="00303DC0" w:rsidP="004E4DA3">
      <w:pPr>
        <w:pStyle w:val="NormalWeb"/>
        <w:spacing w:before="0" w:beforeAutospacing="0" w:afterAutospacing="0" w:line="480" w:lineRule="auto"/>
        <w:ind w:firstLine="851"/>
        <w:rPr>
          <w:color w:val="000000" w:themeColor="text1"/>
        </w:rPr>
      </w:pPr>
      <w:r w:rsidRPr="004E4DA3">
        <w:rPr>
          <w:color w:val="000000" w:themeColor="text1"/>
        </w:rPr>
        <w:t xml:space="preserve">CMS provides that in history taking, the chief complaint should explain a patient visit, diagnosis, condition, problem, or the associated visit. The history of presenting illness </w:t>
      </w:r>
      <w:r w:rsidRPr="004E4DA3">
        <w:rPr>
          <w:color w:val="000000" w:themeColor="text1"/>
        </w:rPr>
        <w:lastRenderedPageBreak/>
        <w:t xml:space="preserve">states that there are symptoms associated with the reason for the visit; however, they are not presented in the chief complaint. In the history of presenting illness, the description of the symptoms is provided. Still, it does not meet CMS's provisions, which reveals that elements such as location, quality, severity, duration, timing, context, and modifying factors are significant to be involved. History only depicts previous medical illnesses but does not provide the time and how it was treated. More so, the document does not provide the surgical history of the patient. The CMS provides that reproductive health history is also significant for patients in their reproductive age and menopause. The review of systems is very shallow and does not provide specific information for systems. </w:t>
      </w:r>
    </w:p>
    <w:p w:rsidR="00F0725E" w:rsidRPr="004E4DA3" w:rsidRDefault="00303DC0" w:rsidP="004E4DA3">
      <w:pPr>
        <w:pStyle w:val="NormalWeb"/>
        <w:spacing w:before="0" w:beforeAutospacing="0" w:afterAutospacing="0" w:line="480" w:lineRule="auto"/>
        <w:ind w:firstLine="851"/>
        <w:rPr>
          <w:color w:val="000000" w:themeColor="text1"/>
        </w:rPr>
      </w:pPr>
      <w:r w:rsidRPr="004E4DA3">
        <w:rPr>
          <w:color w:val="000000" w:themeColor="text1"/>
        </w:rPr>
        <w:t xml:space="preserve">The systems recognized for the review include the constitutional features, HEENT (head, eyes, ears, nose, and throat), cardiovascular, respiratory, digestive, genitourinary, reproductive, musculoskeletal, integumentary, endocrine, neurologic, psychiatric, hematologic, and immunologic systems. Most of these systems are not presented in the review. All the systems presented for the review are also involved in physical examination to obtain the objective data. For the objective data, the initial assessment should be vital signs of which it is provided as the last part of the assessment in the document. The general assessment is the second part of the assessment in the document. Therefore, the physical examination is arranged wrongly, and also it is very shallow as many systems are not presented. The document's assessment part does not provide the pertinent positive and negative data and the working diagnosis for the patient. </w:t>
      </w:r>
      <w:r w:rsidR="00040961" w:rsidRPr="004E4DA3">
        <w:rPr>
          <w:color w:val="000000" w:themeColor="text1"/>
        </w:rPr>
        <w:t>The plan omits the patient's holistic care (such as diet and exercise), patient education, and follow-up.</w:t>
      </w:r>
    </w:p>
    <w:p w:rsidR="00F0725E" w:rsidRDefault="00F0725E" w:rsidP="004E4DA3">
      <w:pPr>
        <w:pStyle w:val="NormalWeb"/>
        <w:spacing w:before="0" w:beforeAutospacing="0" w:afterAutospacing="0" w:line="480" w:lineRule="auto"/>
        <w:rPr>
          <w:color w:val="000000" w:themeColor="text1"/>
        </w:rPr>
      </w:pPr>
    </w:p>
    <w:p w:rsidR="0059757C" w:rsidRDefault="0059757C" w:rsidP="004E4DA3">
      <w:pPr>
        <w:pStyle w:val="NormalWeb"/>
        <w:spacing w:before="0" w:beforeAutospacing="0" w:afterAutospacing="0" w:line="480" w:lineRule="auto"/>
        <w:rPr>
          <w:color w:val="000000" w:themeColor="text1"/>
        </w:rPr>
      </w:pPr>
    </w:p>
    <w:p w:rsidR="0059757C" w:rsidRPr="004E4DA3" w:rsidRDefault="0059757C" w:rsidP="004E4DA3">
      <w:pPr>
        <w:pStyle w:val="NormalWeb"/>
        <w:spacing w:before="0" w:beforeAutospacing="0" w:afterAutospacing="0" w:line="480" w:lineRule="auto"/>
        <w:rPr>
          <w:color w:val="000000" w:themeColor="text1"/>
        </w:rPr>
      </w:pPr>
    </w:p>
    <w:p w:rsidR="008F24F8" w:rsidRPr="004E4DA3" w:rsidRDefault="00303DC0" w:rsidP="004E4DA3">
      <w:pPr>
        <w:pStyle w:val="NormalWeb"/>
        <w:numPr>
          <w:ilvl w:val="0"/>
          <w:numId w:val="2"/>
        </w:numPr>
        <w:spacing w:before="0" w:beforeAutospacing="0" w:afterAutospacing="0" w:line="480" w:lineRule="auto"/>
        <w:ind w:firstLine="0"/>
        <w:rPr>
          <w:b/>
          <w:bCs/>
          <w:color w:val="000000" w:themeColor="text1"/>
        </w:rPr>
      </w:pPr>
      <w:r w:rsidRPr="004E4DA3">
        <w:rPr>
          <w:b/>
          <w:bCs/>
          <w:color w:val="000000" w:themeColor="text1"/>
        </w:rPr>
        <w:lastRenderedPageBreak/>
        <w:t>Did any questions come to mind that you are unable to answer after reading the H&amp;P?</w:t>
      </w:r>
    </w:p>
    <w:p w:rsidR="00040961" w:rsidRPr="004E4DA3" w:rsidRDefault="00303DC0" w:rsidP="004E4DA3">
      <w:pPr>
        <w:pStyle w:val="NormalWeb"/>
        <w:spacing w:before="0" w:beforeAutospacing="0" w:afterAutospacing="0" w:line="480" w:lineRule="auto"/>
        <w:ind w:firstLine="851"/>
        <w:rPr>
          <w:color w:val="000000" w:themeColor="text1"/>
        </w:rPr>
      </w:pPr>
      <w:r w:rsidRPr="004E4DA3">
        <w:rPr>
          <w:color w:val="000000" w:themeColor="text1"/>
        </w:rPr>
        <w:t xml:space="preserve">The question that came to my mind and was not answered was the alleviating and aggravating factors of the shortness of breath and cough. It was significant for this question to be answered in history to enhance understanding of the factors that influence the condition of the patient since she is not recovering. The influencing factors could lead to an understanding of the effective management of the patient. The other question that was not answered in the presence of other underlying conditions. The history only provides a list of conditions in the past medical history section but does not </w:t>
      </w:r>
      <w:r w:rsidR="006B7FE2" w:rsidRPr="004E4DA3">
        <w:rPr>
          <w:color w:val="000000" w:themeColor="text1"/>
        </w:rPr>
        <w:t>describe when they occurred and if they were treated effectively or still exist.</w:t>
      </w:r>
    </w:p>
    <w:p w:rsidR="008F24F8" w:rsidRPr="004E4DA3" w:rsidRDefault="00303DC0" w:rsidP="004E4DA3">
      <w:pPr>
        <w:pStyle w:val="NormalWeb"/>
        <w:numPr>
          <w:ilvl w:val="0"/>
          <w:numId w:val="2"/>
        </w:numPr>
        <w:spacing w:before="0" w:beforeAutospacing="0" w:afterAutospacing="0" w:line="480" w:lineRule="auto"/>
        <w:ind w:firstLine="0"/>
        <w:rPr>
          <w:color w:val="000000" w:themeColor="text1"/>
        </w:rPr>
      </w:pPr>
      <w:r w:rsidRPr="004E4DA3">
        <w:rPr>
          <w:b/>
          <w:bCs/>
          <w:color w:val="000000" w:themeColor="text1"/>
        </w:rPr>
        <w:t>Are the conditions listed in the assessment section reasonably supported by history? Why or why not? Explain your rationale</w:t>
      </w:r>
      <w:r w:rsidRPr="004E4DA3">
        <w:rPr>
          <w:color w:val="000000" w:themeColor="text1"/>
        </w:rPr>
        <w:t xml:space="preserve">. </w:t>
      </w:r>
    </w:p>
    <w:p w:rsidR="006B7FE2" w:rsidRPr="004E4DA3" w:rsidRDefault="00303DC0" w:rsidP="004E4DA3">
      <w:pPr>
        <w:pStyle w:val="NormalWeb"/>
        <w:spacing w:before="0" w:beforeAutospacing="0" w:afterAutospacing="0" w:line="480" w:lineRule="auto"/>
        <w:ind w:firstLine="851"/>
        <w:rPr>
          <w:color w:val="000000" w:themeColor="text1"/>
        </w:rPr>
      </w:pPr>
      <w:r w:rsidRPr="004E4DA3">
        <w:rPr>
          <w:color w:val="000000" w:themeColor="text1"/>
        </w:rPr>
        <w:t xml:space="preserve">The conditions listed in the assessment section are not all supported by the history provides. Asthma is supported by the history provided because there is pertinent positive subjective data, including persistent cough and shortness of breath. Pneumonia is also a respiratory disease that presents with coughing, dyspnea, and wheezing. However, hypertension is not well supported by the data presented in history. The history provides the presence of hypertension in the past but does not provide information beyond that which can show the treatment process and the patient's response to the treatment. </w:t>
      </w:r>
      <w:r w:rsidR="00EA5E72" w:rsidRPr="004E4DA3">
        <w:rPr>
          <w:color w:val="000000" w:themeColor="text1"/>
        </w:rPr>
        <w:t>Hyperlipidemia presents with chest pains and fullness, which is present in bronchitis, which is not revealed in history. Obesity is a condition that is listed in the history of the patient from the past diagnosis. However, history does not provide evidence that supports its occurrence.</w:t>
      </w:r>
    </w:p>
    <w:p w:rsidR="008F24F8" w:rsidRPr="004E4DA3" w:rsidRDefault="00303DC0" w:rsidP="004E4DA3">
      <w:pPr>
        <w:pStyle w:val="NormalWeb"/>
        <w:numPr>
          <w:ilvl w:val="0"/>
          <w:numId w:val="2"/>
        </w:numPr>
        <w:spacing w:before="0" w:beforeAutospacing="0" w:afterAutospacing="0" w:line="480" w:lineRule="auto"/>
        <w:ind w:firstLine="0"/>
        <w:rPr>
          <w:b/>
          <w:bCs/>
          <w:color w:val="000000" w:themeColor="text1"/>
        </w:rPr>
      </w:pPr>
      <w:r w:rsidRPr="004E4DA3">
        <w:rPr>
          <w:b/>
          <w:bCs/>
          <w:color w:val="000000" w:themeColor="text1"/>
        </w:rPr>
        <w:t>Did you identify other differential diagnoses or conditions that should be included in the assessment? If so, list them.</w:t>
      </w:r>
    </w:p>
    <w:p w:rsidR="00697B38" w:rsidRPr="004E4DA3" w:rsidRDefault="00303DC0" w:rsidP="004E4DA3">
      <w:pPr>
        <w:pStyle w:val="NormalWeb"/>
        <w:spacing w:before="0" w:beforeAutospacing="0" w:afterAutospacing="0" w:line="480" w:lineRule="auto"/>
        <w:ind w:firstLine="851"/>
        <w:rPr>
          <w:color w:val="000000" w:themeColor="text1"/>
        </w:rPr>
      </w:pPr>
      <w:r w:rsidRPr="004E4DA3">
        <w:rPr>
          <w:color w:val="000000" w:themeColor="text1"/>
        </w:rPr>
        <w:lastRenderedPageBreak/>
        <w:t xml:space="preserve">Another differential diagnosis was found for the presented complaints, including pharyngitis, rheumatic fever, </w:t>
      </w:r>
      <w:r w:rsidR="00D209BB" w:rsidRPr="004E4DA3">
        <w:rPr>
          <w:color w:val="000000" w:themeColor="text1"/>
        </w:rPr>
        <w:t xml:space="preserve">and </w:t>
      </w:r>
      <w:r w:rsidRPr="004E4DA3">
        <w:rPr>
          <w:color w:val="000000" w:themeColor="text1"/>
        </w:rPr>
        <w:t>congestive heart failure</w:t>
      </w:r>
      <w:r w:rsidR="00D209BB" w:rsidRPr="004E4DA3">
        <w:rPr>
          <w:color w:val="000000" w:themeColor="text1"/>
        </w:rPr>
        <w:t xml:space="preserve">. </w:t>
      </w:r>
    </w:p>
    <w:p w:rsidR="008F24F8" w:rsidRPr="004E4DA3" w:rsidRDefault="00303DC0" w:rsidP="004E4DA3">
      <w:pPr>
        <w:pStyle w:val="NormalWeb"/>
        <w:numPr>
          <w:ilvl w:val="0"/>
          <w:numId w:val="2"/>
        </w:numPr>
        <w:spacing w:before="0" w:beforeAutospacing="0" w:afterAutospacing="0" w:line="480" w:lineRule="auto"/>
        <w:ind w:firstLine="0"/>
        <w:rPr>
          <w:color w:val="000000" w:themeColor="text1"/>
        </w:rPr>
      </w:pPr>
      <w:r w:rsidRPr="004E4DA3">
        <w:rPr>
          <w:b/>
          <w:bCs/>
          <w:color w:val="000000" w:themeColor="text1"/>
        </w:rPr>
        <w:t xml:space="preserve">List the ICD-10 code for each of the following (go to </w:t>
      </w:r>
      <w:hyperlink r:id="rId7" w:tgtFrame="_blank" w:history="1">
        <w:r w:rsidRPr="004E4DA3">
          <w:rPr>
            <w:rStyle w:val="Hyperlink"/>
            <w:b/>
            <w:bCs/>
            <w:color w:val="000000" w:themeColor="text1"/>
            <w:u w:val="none"/>
          </w:rPr>
          <w:t>CMS.gov</w:t>
        </w:r>
      </w:hyperlink>
      <w:r w:rsidRPr="004E4DA3">
        <w:rPr>
          <w:b/>
          <w:bCs/>
          <w:color w:val="000000" w:themeColor="text1"/>
        </w:rPr>
        <w:t xml:space="preserve"> and search for the ICD-10 Codes):</w:t>
      </w:r>
    </w:p>
    <w:p w:rsidR="008F24F8" w:rsidRPr="004E4DA3" w:rsidRDefault="00303DC0" w:rsidP="004E4DA3">
      <w:pPr>
        <w:pStyle w:val="NormalWeb"/>
        <w:spacing w:before="0" w:beforeAutospacing="0" w:afterAutospacing="0" w:line="480" w:lineRule="auto"/>
        <w:ind w:left="720"/>
        <w:rPr>
          <w:color w:val="000000" w:themeColor="text1"/>
        </w:rPr>
      </w:pPr>
      <w:r w:rsidRPr="004E4DA3">
        <w:rPr>
          <w:color w:val="000000" w:themeColor="text1"/>
        </w:rPr>
        <w:tab/>
        <w:t>Moderate persistent asthma with (acute) exacerbation: _</w:t>
      </w:r>
      <w:r w:rsidR="00521BC1" w:rsidRPr="004E4DA3">
        <w:rPr>
          <w:color w:val="000000" w:themeColor="text1"/>
        </w:rPr>
        <w:t>_</w:t>
      </w:r>
      <w:r w:rsidR="00521BC1">
        <w:rPr>
          <w:color w:val="000000" w:themeColor="text1"/>
          <w:shd w:val="clear" w:color="auto" w:fill="FFFFFF"/>
        </w:rPr>
        <w:t>J45.41</w:t>
      </w:r>
      <w:r w:rsidRPr="004E4DA3">
        <w:rPr>
          <w:color w:val="000000" w:themeColor="text1"/>
        </w:rPr>
        <w:t>_________</w:t>
      </w:r>
    </w:p>
    <w:p w:rsidR="008F24F8" w:rsidRPr="004E4DA3" w:rsidRDefault="00303DC0" w:rsidP="004E4DA3">
      <w:pPr>
        <w:pStyle w:val="NormalWeb"/>
        <w:spacing w:before="0" w:beforeAutospacing="0" w:afterAutospacing="0" w:line="480" w:lineRule="auto"/>
        <w:ind w:left="720"/>
        <w:rPr>
          <w:color w:val="000000" w:themeColor="text1"/>
        </w:rPr>
      </w:pPr>
      <w:r w:rsidRPr="004E4DA3">
        <w:rPr>
          <w:color w:val="000000" w:themeColor="text1"/>
        </w:rPr>
        <w:tab/>
        <w:t>Pneumonia, unspecified organism:  ____</w:t>
      </w:r>
      <w:r w:rsidR="00D209BB" w:rsidRPr="004E4DA3">
        <w:rPr>
          <w:color w:val="000000" w:themeColor="text1"/>
          <w:shd w:val="clear" w:color="auto" w:fill="FFFFFF"/>
        </w:rPr>
        <w:t xml:space="preserve"> J18.9</w:t>
      </w:r>
      <w:r w:rsidRPr="004E4DA3">
        <w:rPr>
          <w:color w:val="000000" w:themeColor="text1"/>
        </w:rPr>
        <w:t>__</w:t>
      </w:r>
      <w:r w:rsidR="00697B38" w:rsidRPr="004E4DA3">
        <w:rPr>
          <w:color w:val="000000" w:themeColor="text1"/>
          <w:shd w:val="clear" w:color="auto" w:fill="FFFFFF"/>
        </w:rPr>
        <w:t xml:space="preserve"> (Cms.gov, </w:t>
      </w:r>
      <w:r w:rsidR="004E4DA3" w:rsidRPr="004E4DA3">
        <w:rPr>
          <w:color w:val="000000" w:themeColor="text1"/>
          <w:shd w:val="clear" w:color="auto" w:fill="FFFFFF"/>
        </w:rPr>
        <w:t>2020)</w:t>
      </w:r>
      <w:r w:rsidR="004E4DA3" w:rsidRPr="004E4DA3">
        <w:rPr>
          <w:color w:val="000000" w:themeColor="text1"/>
        </w:rPr>
        <w:t xml:space="preserve"> _</w:t>
      </w:r>
      <w:r w:rsidRPr="004E4DA3">
        <w:rPr>
          <w:color w:val="000000" w:themeColor="text1"/>
        </w:rPr>
        <w:t>_______</w:t>
      </w:r>
    </w:p>
    <w:p w:rsidR="008F24F8" w:rsidRPr="004E4DA3" w:rsidRDefault="00303DC0" w:rsidP="004E4DA3">
      <w:pPr>
        <w:pStyle w:val="NormalWeb"/>
        <w:spacing w:before="0" w:beforeAutospacing="0" w:afterAutospacing="0" w:line="480" w:lineRule="auto"/>
        <w:ind w:left="720"/>
        <w:rPr>
          <w:color w:val="000000" w:themeColor="text1"/>
        </w:rPr>
      </w:pPr>
      <w:r w:rsidRPr="004E4DA3">
        <w:rPr>
          <w:color w:val="000000" w:themeColor="text1"/>
        </w:rPr>
        <w:tab/>
        <w:t>Essential (primary) hypertension: ____</w:t>
      </w:r>
      <w:r w:rsidR="00D209BB" w:rsidRPr="004E4DA3">
        <w:rPr>
          <w:color w:val="000000" w:themeColor="text1"/>
        </w:rPr>
        <w:t>_</w:t>
      </w:r>
      <w:r w:rsidR="00D209BB" w:rsidRPr="004E4DA3">
        <w:rPr>
          <w:color w:val="000000" w:themeColor="text1"/>
          <w:shd w:val="clear" w:color="auto" w:fill="FFFFFF"/>
        </w:rPr>
        <w:t xml:space="preserve"> I10</w:t>
      </w:r>
      <w:r w:rsidRPr="004E4DA3">
        <w:rPr>
          <w:color w:val="000000" w:themeColor="text1"/>
        </w:rPr>
        <w:t>_________</w:t>
      </w:r>
    </w:p>
    <w:p w:rsidR="008F24F8" w:rsidRPr="004E4DA3" w:rsidRDefault="00303DC0" w:rsidP="004E4DA3">
      <w:pPr>
        <w:pStyle w:val="NormalWeb"/>
        <w:spacing w:before="0" w:beforeAutospacing="0" w:afterAutospacing="0" w:line="480" w:lineRule="auto"/>
        <w:ind w:left="720"/>
        <w:rPr>
          <w:color w:val="000000" w:themeColor="text1"/>
        </w:rPr>
      </w:pPr>
      <w:r w:rsidRPr="004E4DA3">
        <w:rPr>
          <w:color w:val="000000" w:themeColor="text1"/>
        </w:rPr>
        <w:tab/>
      </w:r>
      <w:r w:rsidRPr="004E4DA3">
        <w:rPr>
          <w:rStyle w:val="mceitemhiddenspellword"/>
          <w:color w:val="000000" w:themeColor="text1"/>
        </w:rPr>
        <w:t>Hyperlipidemia</w:t>
      </w:r>
      <w:r w:rsidRPr="004E4DA3">
        <w:rPr>
          <w:color w:val="000000" w:themeColor="text1"/>
        </w:rPr>
        <w:t>, unspecified ___</w:t>
      </w:r>
      <w:r w:rsidR="00D209BB" w:rsidRPr="004E4DA3">
        <w:rPr>
          <w:color w:val="000000" w:themeColor="text1"/>
          <w:shd w:val="clear" w:color="auto" w:fill="FFFFFF"/>
        </w:rPr>
        <w:t xml:space="preserve"> E78.5</w:t>
      </w:r>
      <w:r w:rsidRPr="004E4DA3">
        <w:rPr>
          <w:color w:val="000000" w:themeColor="text1"/>
        </w:rPr>
        <w:t>___________</w:t>
      </w:r>
    </w:p>
    <w:p w:rsidR="008F24F8" w:rsidRPr="004E4DA3" w:rsidRDefault="00303DC0" w:rsidP="004E4DA3">
      <w:pPr>
        <w:pStyle w:val="NormalWeb"/>
        <w:spacing w:before="0" w:beforeAutospacing="0" w:afterAutospacing="0" w:line="480" w:lineRule="auto"/>
        <w:ind w:left="720"/>
        <w:rPr>
          <w:color w:val="000000" w:themeColor="text1"/>
        </w:rPr>
      </w:pPr>
      <w:r w:rsidRPr="004E4DA3">
        <w:rPr>
          <w:color w:val="000000" w:themeColor="text1"/>
        </w:rPr>
        <w:tab/>
        <w:t>Obesity: _____</w:t>
      </w:r>
      <w:r w:rsidR="00D209BB" w:rsidRPr="004E4DA3">
        <w:rPr>
          <w:color w:val="000000" w:themeColor="text1"/>
          <w:shd w:val="clear" w:color="auto" w:fill="FFFFFF"/>
        </w:rPr>
        <w:t xml:space="preserve"> E66</w:t>
      </w:r>
      <w:r w:rsidRPr="004E4DA3">
        <w:rPr>
          <w:color w:val="000000" w:themeColor="text1"/>
        </w:rPr>
        <w:t>_________  </w:t>
      </w:r>
    </w:p>
    <w:p w:rsidR="008F24F8" w:rsidRPr="004E4DA3" w:rsidRDefault="00303DC0" w:rsidP="004E4DA3">
      <w:pPr>
        <w:pStyle w:val="NormalWeb"/>
        <w:numPr>
          <w:ilvl w:val="0"/>
          <w:numId w:val="2"/>
        </w:numPr>
        <w:spacing w:before="0" w:beforeAutospacing="0" w:afterAutospacing="0" w:line="480" w:lineRule="auto"/>
        <w:ind w:firstLine="0"/>
        <w:rPr>
          <w:b/>
          <w:bCs/>
          <w:color w:val="000000" w:themeColor="text1"/>
        </w:rPr>
      </w:pPr>
      <w:r w:rsidRPr="004E4DA3">
        <w:rPr>
          <w:b/>
          <w:bCs/>
          <w:color w:val="000000" w:themeColor="text1"/>
        </w:rPr>
        <w:t>Is it appropriate to include the ICD-10 code for pneumonia when billing for this visit? Why or why not?</w:t>
      </w:r>
    </w:p>
    <w:p w:rsidR="00D209BB" w:rsidRPr="004E4DA3" w:rsidRDefault="00303DC0" w:rsidP="00521BC1">
      <w:pPr>
        <w:pStyle w:val="NormalWeb"/>
        <w:spacing w:before="0" w:beforeAutospacing="0" w:afterAutospacing="0" w:line="480" w:lineRule="auto"/>
        <w:ind w:firstLine="851"/>
        <w:rPr>
          <w:color w:val="000000" w:themeColor="text1"/>
        </w:rPr>
      </w:pPr>
      <w:r w:rsidRPr="004E4DA3">
        <w:rPr>
          <w:color w:val="000000" w:themeColor="text1"/>
        </w:rPr>
        <w:t>It is appropriate to involve the ICD-10 code for pneumonia when billing for the visit. This is because it is a condition caused by different organisms that are significant to be identified for the treatment process's effectiveness. Also, there are different categories of pneumonia that needs to be specified in the treatment process. For example, healthcare-associated pneumonia and hospital-acquired pneumonia are nosocomial, and gram-negative bacteria mostly influence them. Therefore, codes are significant in linking the disease to the causative agent, which will enhance effective treatment.</w:t>
      </w:r>
    </w:p>
    <w:p w:rsidR="008F24F8" w:rsidRPr="004E4DA3" w:rsidRDefault="00303DC0" w:rsidP="004E4DA3">
      <w:pPr>
        <w:pStyle w:val="NormalWeb"/>
        <w:numPr>
          <w:ilvl w:val="0"/>
          <w:numId w:val="2"/>
        </w:numPr>
        <w:spacing w:before="0" w:beforeAutospacing="0" w:afterAutospacing="0" w:line="480" w:lineRule="auto"/>
        <w:ind w:firstLine="0"/>
        <w:rPr>
          <w:b/>
          <w:bCs/>
          <w:color w:val="000000" w:themeColor="text1"/>
        </w:rPr>
      </w:pPr>
      <w:r w:rsidRPr="004E4DA3">
        <w:rPr>
          <w:b/>
          <w:bCs/>
          <w:color w:val="000000" w:themeColor="text1"/>
        </w:rPr>
        <w:t>Is the plan reasonable based on the assessments listed? Why or why not?</w:t>
      </w:r>
    </w:p>
    <w:p w:rsidR="00981586" w:rsidRPr="004E4DA3" w:rsidRDefault="00303DC0" w:rsidP="00521BC1">
      <w:pPr>
        <w:pStyle w:val="NormalWeb"/>
        <w:spacing w:before="0" w:beforeAutospacing="0" w:afterAutospacing="0" w:line="480" w:lineRule="auto"/>
        <w:ind w:firstLine="851"/>
        <w:rPr>
          <w:color w:val="000000" w:themeColor="text1"/>
        </w:rPr>
      </w:pPr>
      <w:r w:rsidRPr="004E4DA3">
        <w:rPr>
          <w:color w:val="000000" w:themeColor="text1"/>
        </w:rPr>
        <w:t xml:space="preserve">The plan is not reasonable for the patient based on the assessment. The assessment provides various differential diagnoses with no specific working diagnosis. Therefore, there is a need for diagnostic tests to confirm the patient's diagnosis, which is not provided in the plan. The treatment provided for the patient is reasonable for the management of respiratory </w:t>
      </w:r>
      <w:r w:rsidRPr="004E4DA3">
        <w:rPr>
          <w:color w:val="000000" w:themeColor="text1"/>
        </w:rPr>
        <w:lastRenderedPageBreak/>
        <w:t>conditions only. The plan does not provide lifestyle management, education, and follow up for the patient.</w:t>
      </w:r>
    </w:p>
    <w:p w:rsidR="008F24F8" w:rsidRPr="004E4DA3" w:rsidRDefault="00303DC0" w:rsidP="004E4DA3">
      <w:pPr>
        <w:pStyle w:val="NormalWeb"/>
        <w:numPr>
          <w:ilvl w:val="0"/>
          <w:numId w:val="2"/>
        </w:numPr>
        <w:spacing w:before="0" w:beforeAutospacing="0" w:afterAutospacing="0" w:line="480" w:lineRule="auto"/>
        <w:ind w:firstLine="0"/>
        <w:rPr>
          <w:b/>
          <w:bCs/>
          <w:color w:val="000000" w:themeColor="text1"/>
        </w:rPr>
      </w:pPr>
      <w:r w:rsidRPr="004E4DA3">
        <w:rPr>
          <w:b/>
          <w:bCs/>
          <w:color w:val="000000" w:themeColor="text1"/>
        </w:rPr>
        <w:t>List three patient education strategies r</w:t>
      </w:r>
      <w:r w:rsidRPr="004E4DA3">
        <w:rPr>
          <w:rStyle w:val="mceitemhiddenspellword"/>
          <w:b/>
          <w:bCs/>
          <w:color w:val="000000" w:themeColor="text1"/>
        </w:rPr>
        <w:t>elevant</w:t>
      </w:r>
      <w:r w:rsidRPr="004E4DA3">
        <w:rPr>
          <w:b/>
          <w:bCs/>
          <w:color w:val="000000" w:themeColor="text1"/>
        </w:rPr>
        <w:t xml:space="preserve"> to the case study, including specific medication teaching. Include references. </w:t>
      </w:r>
    </w:p>
    <w:p w:rsidR="00981586" w:rsidRPr="004E4DA3" w:rsidRDefault="00303DC0" w:rsidP="004E4DA3">
      <w:pPr>
        <w:pStyle w:val="NormalWeb"/>
        <w:spacing w:before="0" w:beforeAutospacing="0" w:afterAutospacing="0" w:line="480" w:lineRule="auto"/>
        <w:rPr>
          <w:color w:val="000000" w:themeColor="text1"/>
        </w:rPr>
      </w:pPr>
      <w:r w:rsidRPr="004E4DA3">
        <w:rPr>
          <w:color w:val="000000" w:themeColor="text1"/>
        </w:rPr>
        <w:t>The patient should be encouraged to have enough rest to ensure that chest congestion, coughing, and dyspnea are diminished.</w:t>
      </w:r>
    </w:p>
    <w:p w:rsidR="00981586" w:rsidRPr="004E4DA3" w:rsidRDefault="00303DC0" w:rsidP="004E4DA3">
      <w:pPr>
        <w:pStyle w:val="NormalWeb"/>
        <w:spacing w:before="0" w:beforeAutospacing="0" w:afterAutospacing="0" w:line="480" w:lineRule="auto"/>
        <w:rPr>
          <w:color w:val="000000" w:themeColor="text1"/>
        </w:rPr>
      </w:pPr>
      <w:r w:rsidRPr="004E4DA3">
        <w:rPr>
          <w:color w:val="000000" w:themeColor="text1"/>
        </w:rPr>
        <w:t xml:space="preserve">Albuterol should be used 15-30 minutes before physical activity to prevent </w:t>
      </w:r>
      <w:r w:rsidR="009A4982" w:rsidRPr="004E4DA3">
        <w:rPr>
          <w:color w:val="000000" w:themeColor="text1"/>
        </w:rPr>
        <w:t>bronchospasms</w:t>
      </w:r>
      <w:r w:rsidR="00697B38" w:rsidRPr="004E4DA3">
        <w:rPr>
          <w:color w:val="000000" w:themeColor="text1"/>
        </w:rPr>
        <w:t xml:space="preserve"> (</w:t>
      </w:r>
      <w:r w:rsidR="00697B38" w:rsidRPr="004E4DA3">
        <w:rPr>
          <w:color w:val="000000" w:themeColor="text1"/>
          <w:shd w:val="clear" w:color="auto" w:fill="FFFFFF"/>
        </w:rPr>
        <w:t>Gerald et al., 2015)</w:t>
      </w:r>
      <w:r w:rsidR="009A4982" w:rsidRPr="004E4DA3">
        <w:rPr>
          <w:color w:val="000000" w:themeColor="text1"/>
        </w:rPr>
        <w:t>.</w:t>
      </w:r>
    </w:p>
    <w:p w:rsidR="009A4982" w:rsidRPr="004E4DA3" w:rsidRDefault="00303DC0" w:rsidP="004E4DA3">
      <w:pPr>
        <w:pStyle w:val="NormalWeb"/>
        <w:spacing w:before="0" w:beforeAutospacing="0" w:afterAutospacing="0" w:line="480" w:lineRule="auto"/>
        <w:rPr>
          <w:color w:val="000000" w:themeColor="text1"/>
        </w:rPr>
      </w:pPr>
      <w:r w:rsidRPr="004E4DA3">
        <w:rPr>
          <w:color w:val="000000" w:themeColor="text1"/>
        </w:rPr>
        <w:t>HCTZ should be administered at least 4 hours before sleep, and if the patient administers it during bed time, she will need to wake up and urinate</w:t>
      </w:r>
      <w:r w:rsidR="00697B38" w:rsidRPr="004E4DA3">
        <w:rPr>
          <w:color w:val="000000" w:themeColor="text1"/>
        </w:rPr>
        <w:t xml:space="preserve"> (</w:t>
      </w:r>
      <w:r w:rsidR="00697B38" w:rsidRPr="004E4DA3">
        <w:rPr>
          <w:color w:val="000000" w:themeColor="text1"/>
          <w:shd w:val="clear" w:color="auto" w:fill="FFFFFF"/>
        </w:rPr>
        <w:t>Vongpatanasin, 2015)</w:t>
      </w:r>
      <w:r w:rsidRPr="004E4DA3">
        <w:rPr>
          <w:color w:val="000000" w:themeColor="text1"/>
        </w:rPr>
        <w:t>.</w:t>
      </w:r>
    </w:p>
    <w:p w:rsidR="008F24F8" w:rsidRPr="004E4DA3" w:rsidRDefault="00303DC0" w:rsidP="004E4DA3">
      <w:pPr>
        <w:pStyle w:val="NormalWeb"/>
        <w:numPr>
          <w:ilvl w:val="0"/>
          <w:numId w:val="2"/>
        </w:numPr>
        <w:spacing w:before="0" w:beforeAutospacing="0" w:afterAutospacing="0" w:line="480" w:lineRule="auto"/>
        <w:ind w:firstLine="0"/>
        <w:rPr>
          <w:b/>
          <w:bCs/>
          <w:color w:val="000000" w:themeColor="text1"/>
        </w:rPr>
      </w:pPr>
      <w:r w:rsidRPr="004E4DA3">
        <w:rPr>
          <w:b/>
          <w:bCs/>
          <w:color w:val="000000" w:themeColor="text1"/>
        </w:rPr>
        <w:t xml:space="preserve">List health promotion recommendations from AHRQ according to age/gender/conditions. Cite your references. </w:t>
      </w:r>
    </w:p>
    <w:p w:rsidR="009A4982" w:rsidRPr="004E4DA3" w:rsidRDefault="00303DC0" w:rsidP="004E4DA3">
      <w:pPr>
        <w:pStyle w:val="NormalWeb"/>
        <w:numPr>
          <w:ilvl w:val="0"/>
          <w:numId w:val="3"/>
        </w:numPr>
        <w:spacing w:before="0" w:beforeAutospacing="0" w:afterAutospacing="0" w:line="480" w:lineRule="auto"/>
        <w:ind w:firstLine="0"/>
        <w:rPr>
          <w:color w:val="000000" w:themeColor="text1"/>
        </w:rPr>
      </w:pPr>
      <w:r w:rsidRPr="004E4DA3">
        <w:rPr>
          <w:color w:val="000000" w:themeColor="text1"/>
        </w:rPr>
        <w:t>Acquire a vaccine for flu to prevent seasonal infections and pneumococcal vaccine for children under five years to prevent pneumonia infections</w:t>
      </w:r>
      <w:r w:rsidR="00697B38" w:rsidRPr="004E4DA3">
        <w:rPr>
          <w:color w:val="000000" w:themeColor="text1"/>
        </w:rPr>
        <w:t xml:space="preserve"> (</w:t>
      </w:r>
      <w:r w:rsidR="00697B38" w:rsidRPr="004E4DA3">
        <w:rPr>
          <w:i/>
          <w:iCs/>
          <w:color w:val="000000" w:themeColor="text1"/>
          <w:shd w:val="clear" w:color="auto" w:fill="FFFFFF"/>
        </w:rPr>
        <w:t>Clinical Guidelines and Recommendations</w:t>
      </w:r>
      <w:r w:rsidR="00697B38" w:rsidRPr="004E4DA3">
        <w:rPr>
          <w:color w:val="000000" w:themeColor="text1"/>
          <w:shd w:val="clear" w:color="auto" w:fill="FFFFFF"/>
        </w:rPr>
        <w:t>. Ahrq.gov., 2020)</w:t>
      </w:r>
      <w:r w:rsidRPr="004E4DA3">
        <w:rPr>
          <w:color w:val="000000" w:themeColor="text1"/>
        </w:rPr>
        <w:t>.</w:t>
      </w:r>
    </w:p>
    <w:p w:rsidR="009A4982" w:rsidRPr="004E4DA3" w:rsidRDefault="00303DC0" w:rsidP="004E4DA3">
      <w:pPr>
        <w:pStyle w:val="NormalWeb"/>
        <w:numPr>
          <w:ilvl w:val="0"/>
          <w:numId w:val="3"/>
        </w:numPr>
        <w:spacing w:before="0" w:beforeAutospacing="0" w:afterAutospacing="0" w:line="480" w:lineRule="auto"/>
        <w:ind w:firstLine="0"/>
        <w:rPr>
          <w:color w:val="000000" w:themeColor="text1"/>
        </w:rPr>
      </w:pPr>
      <w:r w:rsidRPr="004E4DA3">
        <w:rPr>
          <w:color w:val="000000" w:themeColor="text1"/>
        </w:rPr>
        <w:t>Washing of hands after blowing the nose, diapering, and before preparing food and eating.</w:t>
      </w:r>
    </w:p>
    <w:p w:rsidR="009A4982" w:rsidRPr="004E4DA3" w:rsidRDefault="00303DC0" w:rsidP="004E4DA3">
      <w:pPr>
        <w:pStyle w:val="NormalWeb"/>
        <w:numPr>
          <w:ilvl w:val="0"/>
          <w:numId w:val="3"/>
        </w:numPr>
        <w:spacing w:before="0" w:beforeAutospacing="0" w:afterAutospacing="0" w:line="480" w:lineRule="auto"/>
        <w:ind w:firstLine="0"/>
        <w:rPr>
          <w:color w:val="000000" w:themeColor="text1"/>
        </w:rPr>
      </w:pPr>
      <w:r w:rsidRPr="004E4DA3">
        <w:rPr>
          <w:color w:val="000000" w:themeColor="text1"/>
        </w:rPr>
        <w:t>Every individual should be aware of infections through understanding the symptoms.</w:t>
      </w:r>
    </w:p>
    <w:p w:rsidR="009A4982" w:rsidRPr="004E4DA3" w:rsidRDefault="00303DC0" w:rsidP="004E4DA3">
      <w:pPr>
        <w:pStyle w:val="NormalWeb"/>
        <w:numPr>
          <w:ilvl w:val="0"/>
          <w:numId w:val="3"/>
        </w:numPr>
        <w:spacing w:before="0" w:beforeAutospacing="0" w:afterAutospacing="0" w:line="480" w:lineRule="auto"/>
        <w:ind w:firstLine="0"/>
        <w:rPr>
          <w:color w:val="000000" w:themeColor="text1"/>
        </w:rPr>
      </w:pPr>
      <w:r w:rsidRPr="004E4DA3">
        <w:rPr>
          <w:color w:val="000000" w:themeColor="text1"/>
        </w:rPr>
        <w:t>Good health habits include exercise, rest, and a healthy diet.</w:t>
      </w:r>
    </w:p>
    <w:p w:rsidR="009A4982" w:rsidRPr="004E4DA3" w:rsidRDefault="00303DC0" w:rsidP="004E4DA3">
      <w:pPr>
        <w:pStyle w:val="NormalWeb"/>
        <w:numPr>
          <w:ilvl w:val="0"/>
          <w:numId w:val="3"/>
        </w:numPr>
        <w:spacing w:before="0" w:beforeAutospacing="0" w:afterAutospacing="0" w:line="480" w:lineRule="auto"/>
        <w:ind w:firstLine="0"/>
        <w:rPr>
          <w:color w:val="000000" w:themeColor="text1"/>
        </w:rPr>
      </w:pPr>
      <w:r w:rsidRPr="004E4DA3">
        <w:rPr>
          <w:color w:val="000000" w:themeColor="text1"/>
        </w:rPr>
        <w:t>Synagis (palivizumab) is an effective medication for children younger than 24 months in preventing pneumonia.</w:t>
      </w:r>
    </w:p>
    <w:p w:rsidR="009A4982" w:rsidRPr="004E4DA3" w:rsidRDefault="009A4982" w:rsidP="004E4DA3">
      <w:pPr>
        <w:pStyle w:val="NormalWeb"/>
        <w:spacing w:before="0" w:beforeAutospacing="0" w:afterAutospacing="0" w:line="480" w:lineRule="auto"/>
        <w:rPr>
          <w:color w:val="000000" w:themeColor="text1"/>
        </w:rPr>
      </w:pPr>
    </w:p>
    <w:p w:rsidR="008D2571" w:rsidRDefault="008D2571" w:rsidP="00521BC1">
      <w:pPr>
        <w:pStyle w:val="NormalWeb"/>
        <w:spacing w:before="0" w:beforeAutospacing="0" w:afterAutospacing="0" w:line="480" w:lineRule="auto"/>
        <w:jc w:val="center"/>
        <w:rPr>
          <w:b/>
          <w:bCs/>
          <w:color w:val="000000" w:themeColor="text1"/>
        </w:rPr>
      </w:pPr>
    </w:p>
    <w:p w:rsidR="008D2571" w:rsidRDefault="008D2571" w:rsidP="00521BC1">
      <w:pPr>
        <w:pStyle w:val="NormalWeb"/>
        <w:spacing w:before="0" w:beforeAutospacing="0" w:afterAutospacing="0" w:line="480" w:lineRule="auto"/>
        <w:jc w:val="center"/>
        <w:rPr>
          <w:b/>
          <w:bCs/>
          <w:color w:val="000000" w:themeColor="text1"/>
        </w:rPr>
      </w:pPr>
    </w:p>
    <w:p w:rsidR="00521BC1" w:rsidRPr="00521BC1" w:rsidRDefault="00303DC0" w:rsidP="00521BC1">
      <w:pPr>
        <w:pStyle w:val="NormalWeb"/>
        <w:spacing w:before="0" w:beforeAutospacing="0" w:afterAutospacing="0" w:line="480" w:lineRule="auto"/>
        <w:jc w:val="center"/>
        <w:rPr>
          <w:b/>
          <w:bCs/>
          <w:color w:val="000000" w:themeColor="text1"/>
        </w:rPr>
      </w:pPr>
      <w:r w:rsidRPr="004E4DA3">
        <w:rPr>
          <w:b/>
          <w:bCs/>
          <w:color w:val="000000" w:themeColor="text1"/>
        </w:rPr>
        <w:t>References</w:t>
      </w:r>
    </w:p>
    <w:p w:rsidR="00521BC1" w:rsidRPr="004E4DA3" w:rsidRDefault="00303DC0" w:rsidP="00521BC1">
      <w:pPr>
        <w:spacing w:line="480" w:lineRule="auto"/>
        <w:ind w:left="851" w:hanging="851"/>
        <w:rPr>
          <w:rFonts w:ascii="Times New Roman" w:hAnsi="Times New Roman" w:cs="Times New Roman"/>
          <w:color w:val="000000" w:themeColor="text1"/>
          <w:sz w:val="24"/>
          <w:szCs w:val="24"/>
          <w:shd w:val="clear" w:color="auto" w:fill="FFFFFF"/>
        </w:rPr>
      </w:pPr>
      <w:r w:rsidRPr="004E4DA3">
        <w:rPr>
          <w:rFonts w:ascii="Times New Roman" w:hAnsi="Times New Roman" w:cs="Times New Roman"/>
          <w:i/>
          <w:iCs/>
          <w:color w:val="000000" w:themeColor="text1"/>
          <w:sz w:val="24"/>
          <w:szCs w:val="24"/>
          <w:shd w:val="clear" w:color="auto" w:fill="FFFFFF"/>
        </w:rPr>
        <w:t>Centers for Medicare &amp; Medicaid Services | CMS</w:t>
      </w:r>
      <w:r w:rsidRPr="004E4DA3">
        <w:rPr>
          <w:rFonts w:ascii="Times New Roman" w:hAnsi="Times New Roman" w:cs="Times New Roman"/>
          <w:color w:val="000000" w:themeColor="text1"/>
          <w:sz w:val="24"/>
          <w:szCs w:val="24"/>
          <w:shd w:val="clear" w:color="auto" w:fill="FFFFFF"/>
        </w:rPr>
        <w:t>. Cms.gov. (2020). Retrieved 21 October 2020, from https://www.cms.gov/.</w:t>
      </w:r>
    </w:p>
    <w:p w:rsidR="00521BC1" w:rsidRPr="004E4DA3" w:rsidRDefault="00303DC0" w:rsidP="00521BC1">
      <w:pPr>
        <w:spacing w:line="480" w:lineRule="auto"/>
        <w:ind w:left="851" w:hanging="851"/>
        <w:rPr>
          <w:rFonts w:ascii="Times New Roman" w:hAnsi="Times New Roman" w:cs="Times New Roman"/>
          <w:color w:val="000000" w:themeColor="text1"/>
          <w:sz w:val="24"/>
          <w:szCs w:val="24"/>
          <w:shd w:val="clear" w:color="auto" w:fill="FFFFFF"/>
        </w:rPr>
      </w:pPr>
      <w:r w:rsidRPr="004E4DA3">
        <w:rPr>
          <w:rFonts w:ascii="Times New Roman" w:hAnsi="Times New Roman" w:cs="Times New Roman"/>
          <w:i/>
          <w:iCs/>
          <w:color w:val="000000" w:themeColor="text1"/>
          <w:sz w:val="24"/>
          <w:szCs w:val="24"/>
          <w:shd w:val="clear" w:color="auto" w:fill="FFFFFF"/>
        </w:rPr>
        <w:t>Clinical Guidelines and Recommendations</w:t>
      </w:r>
      <w:r w:rsidRPr="004E4DA3">
        <w:rPr>
          <w:rFonts w:ascii="Times New Roman" w:hAnsi="Times New Roman" w:cs="Times New Roman"/>
          <w:color w:val="000000" w:themeColor="text1"/>
          <w:sz w:val="24"/>
          <w:szCs w:val="24"/>
          <w:shd w:val="clear" w:color="auto" w:fill="FFFFFF"/>
        </w:rPr>
        <w:t xml:space="preserve">. Ahrq.gov. (2020). Retrieved 21 October 2020, from </w:t>
      </w:r>
      <w:hyperlink r:id="rId8" w:history="1">
        <w:r w:rsidRPr="004E4DA3">
          <w:rPr>
            <w:rStyle w:val="Hyperlink"/>
            <w:rFonts w:ascii="Times New Roman" w:hAnsi="Times New Roman" w:cs="Times New Roman"/>
            <w:color w:val="000000" w:themeColor="text1"/>
            <w:sz w:val="24"/>
            <w:szCs w:val="24"/>
            <w:u w:val="none"/>
            <w:shd w:val="clear" w:color="auto" w:fill="FFFFFF"/>
          </w:rPr>
          <w:t>https://www.ahrq.gov/prevention/guidelines/index.html</w:t>
        </w:r>
      </w:hyperlink>
      <w:r w:rsidRPr="004E4DA3">
        <w:rPr>
          <w:rFonts w:ascii="Times New Roman" w:hAnsi="Times New Roman" w:cs="Times New Roman"/>
          <w:color w:val="000000" w:themeColor="text1"/>
          <w:sz w:val="24"/>
          <w:szCs w:val="24"/>
          <w:shd w:val="clear" w:color="auto" w:fill="FFFFFF"/>
        </w:rPr>
        <w:t>.</w:t>
      </w:r>
    </w:p>
    <w:p w:rsidR="00521BC1" w:rsidRPr="004E4DA3" w:rsidRDefault="00303DC0" w:rsidP="00521BC1">
      <w:pPr>
        <w:spacing w:line="480" w:lineRule="auto"/>
        <w:ind w:left="851" w:hanging="851"/>
        <w:rPr>
          <w:rFonts w:ascii="Times New Roman" w:hAnsi="Times New Roman" w:cs="Times New Roman"/>
          <w:color w:val="000000" w:themeColor="text1"/>
          <w:sz w:val="24"/>
          <w:szCs w:val="24"/>
          <w:shd w:val="clear" w:color="auto" w:fill="FFFFFF"/>
        </w:rPr>
      </w:pPr>
      <w:r w:rsidRPr="004E4DA3">
        <w:rPr>
          <w:rFonts w:ascii="Times New Roman" w:hAnsi="Times New Roman" w:cs="Times New Roman"/>
          <w:color w:val="000000" w:themeColor="text1"/>
          <w:sz w:val="24"/>
          <w:szCs w:val="24"/>
          <w:shd w:val="clear" w:color="auto" w:fill="FFFFFF"/>
        </w:rPr>
        <w:t>Gerald, J. K., Carr, T. F., Wei, C. Y., Holbrook, J. T., &amp; Gerald, L. B. (2015). Albuterol Overuse: A Marker of Psychological Distress? </w:t>
      </w:r>
      <w:r w:rsidRPr="004E4DA3">
        <w:rPr>
          <w:rFonts w:ascii="Times New Roman" w:hAnsi="Times New Roman" w:cs="Times New Roman"/>
          <w:i/>
          <w:iCs/>
          <w:color w:val="000000" w:themeColor="text1"/>
          <w:sz w:val="24"/>
          <w:szCs w:val="24"/>
          <w:shd w:val="clear" w:color="auto" w:fill="FFFFFF"/>
        </w:rPr>
        <w:t>The journal of allergy and clinical immunology. In practice</w:t>
      </w:r>
      <w:r w:rsidRPr="004E4DA3">
        <w:rPr>
          <w:rFonts w:ascii="Times New Roman" w:hAnsi="Times New Roman" w:cs="Times New Roman"/>
          <w:color w:val="000000" w:themeColor="text1"/>
          <w:sz w:val="24"/>
          <w:szCs w:val="24"/>
          <w:shd w:val="clear" w:color="auto" w:fill="FFFFFF"/>
        </w:rPr>
        <w:t>, </w:t>
      </w:r>
      <w:r w:rsidRPr="004E4DA3">
        <w:rPr>
          <w:rFonts w:ascii="Times New Roman" w:hAnsi="Times New Roman" w:cs="Times New Roman"/>
          <w:i/>
          <w:iCs/>
          <w:color w:val="000000" w:themeColor="text1"/>
          <w:sz w:val="24"/>
          <w:szCs w:val="24"/>
          <w:shd w:val="clear" w:color="auto" w:fill="FFFFFF"/>
        </w:rPr>
        <w:t>3</w:t>
      </w:r>
      <w:r w:rsidRPr="004E4DA3">
        <w:rPr>
          <w:rFonts w:ascii="Times New Roman" w:hAnsi="Times New Roman" w:cs="Times New Roman"/>
          <w:color w:val="000000" w:themeColor="text1"/>
          <w:sz w:val="24"/>
          <w:szCs w:val="24"/>
          <w:shd w:val="clear" w:color="auto" w:fill="FFFFFF"/>
        </w:rPr>
        <w:t xml:space="preserve">(6), 957–962. </w:t>
      </w:r>
      <w:hyperlink r:id="rId9" w:history="1">
        <w:r w:rsidRPr="004E4DA3">
          <w:rPr>
            <w:rStyle w:val="Hyperlink"/>
            <w:rFonts w:ascii="Times New Roman" w:hAnsi="Times New Roman" w:cs="Times New Roman"/>
            <w:color w:val="000000" w:themeColor="text1"/>
            <w:sz w:val="24"/>
            <w:szCs w:val="24"/>
            <w:u w:val="none"/>
            <w:shd w:val="clear" w:color="auto" w:fill="FFFFFF"/>
          </w:rPr>
          <w:t>https://doi.org/10.1016/j.jaip.2015.06.021</w:t>
        </w:r>
      </w:hyperlink>
    </w:p>
    <w:p w:rsidR="00521BC1" w:rsidRPr="004E4DA3" w:rsidRDefault="00303DC0" w:rsidP="00521BC1">
      <w:pPr>
        <w:spacing w:line="480" w:lineRule="auto"/>
        <w:ind w:left="851" w:hanging="851"/>
        <w:rPr>
          <w:rFonts w:ascii="Times New Roman" w:hAnsi="Times New Roman" w:cs="Times New Roman"/>
          <w:color w:val="000000" w:themeColor="text1"/>
          <w:sz w:val="24"/>
          <w:szCs w:val="24"/>
          <w:shd w:val="clear" w:color="auto" w:fill="FFFFFF"/>
        </w:rPr>
      </w:pPr>
      <w:r w:rsidRPr="004E4DA3">
        <w:rPr>
          <w:rFonts w:ascii="Times New Roman" w:hAnsi="Times New Roman" w:cs="Times New Roman"/>
          <w:color w:val="000000" w:themeColor="text1"/>
          <w:sz w:val="24"/>
          <w:szCs w:val="24"/>
          <w:shd w:val="clear" w:color="auto" w:fill="FFFFFF"/>
        </w:rPr>
        <w:t>Vongpatanasin W. (2015). Hydrochlorothiazide is not the most useful nor versatile thiazide diuretic. </w:t>
      </w:r>
      <w:r w:rsidRPr="004E4DA3">
        <w:rPr>
          <w:rFonts w:ascii="Times New Roman" w:hAnsi="Times New Roman" w:cs="Times New Roman"/>
          <w:i/>
          <w:iCs/>
          <w:color w:val="000000" w:themeColor="text1"/>
          <w:sz w:val="24"/>
          <w:szCs w:val="24"/>
          <w:shd w:val="clear" w:color="auto" w:fill="FFFFFF"/>
        </w:rPr>
        <w:t>Current opinion in cardiology</w:t>
      </w:r>
      <w:r w:rsidRPr="004E4DA3">
        <w:rPr>
          <w:rFonts w:ascii="Times New Roman" w:hAnsi="Times New Roman" w:cs="Times New Roman"/>
          <w:color w:val="000000" w:themeColor="text1"/>
          <w:sz w:val="24"/>
          <w:szCs w:val="24"/>
          <w:shd w:val="clear" w:color="auto" w:fill="FFFFFF"/>
        </w:rPr>
        <w:t>, </w:t>
      </w:r>
      <w:r w:rsidRPr="004E4DA3">
        <w:rPr>
          <w:rFonts w:ascii="Times New Roman" w:hAnsi="Times New Roman" w:cs="Times New Roman"/>
          <w:i/>
          <w:iCs/>
          <w:color w:val="000000" w:themeColor="text1"/>
          <w:sz w:val="24"/>
          <w:szCs w:val="24"/>
          <w:shd w:val="clear" w:color="auto" w:fill="FFFFFF"/>
        </w:rPr>
        <w:t>30</w:t>
      </w:r>
      <w:r w:rsidRPr="004E4DA3">
        <w:rPr>
          <w:rFonts w:ascii="Times New Roman" w:hAnsi="Times New Roman" w:cs="Times New Roman"/>
          <w:color w:val="000000" w:themeColor="text1"/>
          <w:sz w:val="24"/>
          <w:szCs w:val="24"/>
          <w:shd w:val="clear" w:color="auto" w:fill="FFFFFF"/>
        </w:rPr>
        <w:t xml:space="preserve">(4), 361–365. </w:t>
      </w:r>
      <w:hyperlink r:id="rId10" w:history="1">
        <w:r w:rsidRPr="004E4DA3">
          <w:rPr>
            <w:rStyle w:val="Hyperlink"/>
            <w:rFonts w:ascii="Times New Roman" w:hAnsi="Times New Roman" w:cs="Times New Roman"/>
            <w:color w:val="000000" w:themeColor="text1"/>
            <w:sz w:val="24"/>
            <w:szCs w:val="24"/>
            <w:u w:val="none"/>
            <w:shd w:val="clear" w:color="auto" w:fill="FFFFFF"/>
          </w:rPr>
          <w:t>https://doi.org/10.1097/HCO.0000000000000178</w:t>
        </w:r>
      </w:hyperlink>
    </w:p>
    <w:sectPr w:rsidR="00521BC1" w:rsidRPr="004E4DA3" w:rsidSect="007E47AB">
      <w:headerReference w:type="default" r:id="rId11"/>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F5ECA" w:rsidRDefault="006F5ECA">
      <w:pPr>
        <w:spacing w:after="0" w:line="240" w:lineRule="auto"/>
      </w:pPr>
      <w:r>
        <w:separator/>
      </w:r>
    </w:p>
  </w:endnote>
  <w:endnote w:type="continuationSeparator" w:id="1">
    <w:p w:rsidR="006F5ECA" w:rsidRDefault="006F5EC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F5ECA" w:rsidRDefault="006F5ECA">
      <w:pPr>
        <w:spacing w:after="0" w:line="240" w:lineRule="auto"/>
      </w:pPr>
      <w:r>
        <w:separator/>
      </w:r>
    </w:p>
  </w:footnote>
  <w:footnote w:type="continuationSeparator" w:id="1">
    <w:p w:rsidR="006F5ECA" w:rsidRDefault="006F5EC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52182547"/>
      <w:docPartObj>
        <w:docPartGallery w:val="Page Numbers (Top of Page)"/>
        <w:docPartUnique/>
      </w:docPartObj>
    </w:sdtPr>
    <w:sdtEndPr>
      <w:rPr>
        <w:rFonts w:ascii="Times New Roman" w:hAnsi="Times New Roman" w:cs="Times New Roman"/>
        <w:noProof/>
        <w:sz w:val="24"/>
        <w:szCs w:val="24"/>
      </w:rPr>
    </w:sdtEndPr>
    <w:sdtContent>
      <w:p w:rsidR="004E4DA3" w:rsidRPr="004E4DA3" w:rsidRDefault="002B5CF0">
        <w:pPr>
          <w:pStyle w:val="Header"/>
          <w:jc w:val="right"/>
          <w:rPr>
            <w:rFonts w:ascii="Times New Roman" w:hAnsi="Times New Roman" w:cs="Times New Roman"/>
            <w:sz w:val="24"/>
            <w:szCs w:val="24"/>
          </w:rPr>
        </w:pPr>
        <w:r w:rsidRPr="004E4DA3">
          <w:rPr>
            <w:rFonts w:ascii="Times New Roman" w:hAnsi="Times New Roman" w:cs="Times New Roman"/>
            <w:sz w:val="24"/>
            <w:szCs w:val="24"/>
          </w:rPr>
          <w:fldChar w:fldCharType="begin"/>
        </w:r>
        <w:r w:rsidR="00303DC0" w:rsidRPr="004E4DA3">
          <w:rPr>
            <w:rFonts w:ascii="Times New Roman" w:hAnsi="Times New Roman" w:cs="Times New Roman"/>
            <w:sz w:val="24"/>
            <w:szCs w:val="24"/>
          </w:rPr>
          <w:instrText xml:space="preserve"> PAGE   \* MERGEFORMAT </w:instrText>
        </w:r>
        <w:r w:rsidRPr="004E4DA3">
          <w:rPr>
            <w:rFonts w:ascii="Times New Roman" w:hAnsi="Times New Roman" w:cs="Times New Roman"/>
            <w:sz w:val="24"/>
            <w:szCs w:val="24"/>
          </w:rPr>
          <w:fldChar w:fldCharType="separate"/>
        </w:r>
        <w:r w:rsidR="00E47081">
          <w:rPr>
            <w:rFonts w:ascii="Times New Roman" w:hAnsi="Times New Roman" w:cs="Times New Roman"/>
            <w:noProof/>
            <w:sz w:val="24"/>
            <w:szCs w:val="24"/>
          </w:rPr>
          <w:t>1</w:t>
        </w:r>
        <w:r w:rsidRPr="004E4DA3">
          <w:rPr>
            <w:rFonts w:ascii="Times New Roman" w:hAnsi="Times New Roman" w:cs="Times New Roman"/>
            <w:noProof/>
            <w:sz w:val="24"/>
            <w:szCs w:val="24"/>
          </w:rPr>
          <w:fldChar w:fldCharType="end"/>
        </w:r>
      </w:p>
    </w:sdtContent>
  </w:sdt>
  <w:p w:rsidR="004E4DA3" w:rsidRDefault="004E4DA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F905D3D"/>
    <w:multiLevelType w:val="hybridMultilevel"/>
    <w:tmpl w:val="6046D038"/>
    <w:lvl w:ilvl="0" w:tplc="7FFC57E8">
      <w:start w:val="1"/>
      <w:numFmt w:val="decimal"/>
      <w:lvlText w:val="%1."/>
      <w:lvlJc w:val="left"/>
      <w:pPr>
        <w:ind w:left="360" w:hanging="360"/>
      </w:pPr>
      <w:rPr>
        <w:rFonts w:hint="default"/>
      </w:rPr>
    </w:lvl>
    <w:lvl w:ilvl="1" w:tplc="D3C25BC2" w:tentative="1">
      <w:start w:val="1"/>
      <w:numFmt w:val="lowerLetter"/>
      <w:lvlText w:val="%2."/>
      <w:lvlJc w:val="left"/>
      <w:pPr>
        <w:ind w:left="1080" w:hanging="360"/>
      </w:pPr>
    </w:lvl>
    <w:lvl w:ilvl="2" w:tplc="9774BBA4" w:tentative="1">
      <w:start w:val="1"/>
      <w:numFmt w:val="lowerRoman"/>
      <w:lvlText w:val="%3."/>
      <w:lvlJc w:val="right"/>
      <w:pPr>
        <w:ind w:left="1800" w:hanging="180"/>
      </w:pPr>
    </w:lvl>
    <w:lvl w:ilvl="3" w:tplc="0520F6BE" w:tentative="1">
      <w:start w:val="1"/>
      <w:numFmt w:val="decimal"/>
      <w:lvlText w:val="%4."/>
      <w:lvlJc w:val="left"/>
      <w:pPr>
        <w:ind w:left="2520" w:hanging="360"/>
      </w:pPr>
    </w:lvl>
    <w:lvl w:ilvl="4" w:tplc="7B784D6A" w:tentative="1">
      <w:start w:val="1"/>
      <w:numFmt w:val="lowerLetter"/>
      <w:lvlText w:val="%5."/>
      <w:lvlJc w:val="left"/>
      <w:pPr>
        <w:ind w:left="3240" w:hanging="360"/>
      </w:pPr>
    </w:lvl>
    <w:lvl w:ilvl="5" w:tplc="3BBC2E8E" w:tentative="1">
      <w:start w:val="1"/>
      <w:numFmt w:val="lowerRoman"/>
      <w:lvlText w:val="%6."/>
      <w:lvlJc w:val="right"/>
      <w:pPr>
        <w:ind w:left="3960" w:hanging="180"/>
      </w:pPr>
    </w:lvl>
    <w:lvl w:ilvl="6" w:tplc="86307492" w:tentative="1">
      <w:start w:val="1"/>
      <w:numFmt w:val="decimal"/>
      <w:lvlText w:val="%7."/>
      <w:lvlJc w:val="left"/>
      <w:pPr>
        <w:ind w:left="4680" w:hanging="360"/>
      </w:pPr>
    </w:lvl>
    <w:lvl w:ilvl="7" w:tplc="7B8AEBFE" w:tentative="1">
      <w:start w:val="1"/>
      <w:numFmt w:val="lowerLetter"/>
      <w:lvlText w:val="%8."/>
      <w:lvlJc w:val="left"/>
      <w:pPr>
        <w:ind w:left="5400" w:hanging="360"/>
      </w:pPr>
    </w:lvl>
    <w:lvl w:ilvl="8" w:tplc="3432EDF8" w:tentative="1">
      <w:start w:val="1"/>
      <w:numFmt w:val="lowerRoman"/>
      <w:lvlText w:val="%9."/>
      <w:lvlJc w:val="right"/>
      <w:pPr>
        <w:ind w:left="6120" w:hanging="180"/>
      </w:pPr>
    </w:lvl>
  </w:abstractNum>
  <w:abstractNum w:abstractNumId="1">
    <w:nsid w:val="59CE7D56"/>
    <w:multiLevelType w:val="hybridMultilevel"/>
    <w:tmpl w:val="A86E16B8"/>
    <w:lvl w:ilvl="0" w:tplc="7FFEA680">
      <w:start w:val="1"/>
      <w:numFmt w:val="decimal"/>
      <w:lvlText w:val="%1."/>
      <w:lvlJc w:val="left"/>
      <w:pPr>
        <w:ind w:left="720" w:hanging="360"/>
      </w:pPr>
      <w:rPr>
        <w:rFonts w:hint="default"/>
      </w:rPr>
    </w:lvl>
    <w:lvl w:ilvl="1" w:tplc="00D41B02" w:tentative="1">
      <w:start w:val="1"/>
      <w:numFmt w:val="lowerLetter"/>
      <w:lvlText w:val="%2."/>
      <w:lvlJc w:val="left"/>
      <w:pPr>
        <w:ind w:left="1440" w:hanging="360"/>
      </w:pPr>
    </w:lvl>
    <w:lvl w:ilvl="2" w:tplc="9548744E" w:tentative="1">
      <w:start w:val="1"/>
      <w:numFmt w:val="lowerRoman"/>
      <w:lvlText w:val="%3."/>
      <w:lvlJc w:val="right"/>
      <w:pPr>
        <w:ind w:left="2160" w:hanging="180"/>
      </w:pPr>
    </w:lvl>
    <w:lvl w:ilvl="3" w:tplc="3DEAA4D4" w:tentative="1">
      <w:start w:val="1"/>
      <w:numFmt w:val="decimal"/>
      <w:lvlText w:val="%4."/>
      <w:lvlJc w:val="left"/>
      <w:pPr>
        <w:ind w:left="2880" w:hanging="360"/>
      </w:pPr>
    </w:lvl>
    <w:lvl w:ilvl="4" w:tplc="EC9C9EF8" w:tentative="1">
      <w:start w:val="1"/>
      <w:numFmt w:val="lowerLetter"/>
      <w:lvlText w:val="%5."/>
      <w:lvlJc w:val="left"/>
      <w:pPr>
        <w:ind w:left="3600" w:hanging="360"/>
      </w:pPr>
    </w:lvl>
    <w:lvl w:ilvl="5" w:tplc="15D02466" w:tentative="1">
      <w:start w:val="1"/>
      <w:numFmt w:val="lowerRoman"/>
      <w:lvlText w:val="%6."/>
      <w:lvlJc w:val="right"/>
      <w:pPr>
        <w:ind w:left="4320" w:hanging="180"/>
      </w:pPr>
    </w:lvl>
    <w:lvl w:ilvl="6" w:tplc="DEC4A9B4" w:tentative="1">
      <w:start w:val="1"/>
      <w:numFmt w:val="decimal"/>
      <w:lvlText w:val="%7."/>
      <w:lvlJc w:val="left"/>
      <w:pPr>
        <w:ind w:left="5040" w:hanging="360"/>
      </w:pPr>
    </w:lvl>
    <w:lvl w:ilvl="7" w:tplc="037AA4EA" w:tentative="1">
      <w:start w:val="1"/>
      <w:numFmt w:val="lowerLetter"/>
      <w:lvlText w:val="%8."/>
      <w:lvlJc w:val="left"/>
      <w:pPr>
        <w:ind w:left="5760" w:hanging="360"/>
      </w:pPr>
    </w:lvl>
    <w:lvl w:ilvl="8" w:tplc="168E8F02" w:tentative="1">
      <w:start w:val="1"/>
      <w:numFmt w:val="lowerRoman"/>
      <w:lvlText w:val="%9."/>
      <w:lvlJc w:val="right"/>
      <w:pPr>
        <w:ind w:left="6480" w:hanging="180"/>
      </w:pPr>
    </w:lvl>
  </w:abstractNum>
  <w:abstractNum w:abstractNumId="2">
    <w:nsid w:val="7B386F89"/>
    <w:multiLevelType w:val="hybridMultilevel"/>
    <w:tmpl w:val="522E1D1C"/>
    <w:lvl w:ilvl="0" w:tplc="7C986030">
      <w:start w:val="1"/>
      <w:numFmt w:val="bullet"/>
      <w:lvlText w:val=""/>
      <w:lvlJc w:val="left"/>
      <w:pPr>
        <w:ind w:left="720" w:hanging="360"/>
      </w:pPr>
      <w:rPr>
        <w:rFonts w:ascii="Symbol" w:hAnsi="Symbol" w:hint="default"/>
      </w:rPr>
    </w:lvl>
    <w:lvl w:ilvl="1" w:tplc="A1CC7E04" w:tentative="1">
      <w:start w:val="1"/>
      <w:numFmt w:val="bullet"/>
      <w:lvlText w:val="o"/>
      <w:lvlJc w:val="left"/>
      <w:pPr>
        <w:ind w:left="1440" w:hanging="360"/>
      </w:pPr>
      <w:rPr>
        <w:rFonts w:ascii="Courier New" w:hAnsi="Courier New" w:cs="Courier New" w:hint="default"/>
      </w:rPr>
    </w:lvl>
    <w:lvl w:ilvl="2" w:tplc="E5080292" w:tentative="1">
      <w:start w:val="1"/>
      <w:numFmt w:val="bullet"/>
      <w:lvlText w:val=""/>
      <w:lvlJc w:val="left"/>
      <w:pPr>
        <w:ind w:left="2160" w:hanging="360"/>
      </w:pPr>
      <w:rPr>
        <w:rFonts w:ascii="Wingdings" w:hAnsi="Wingdings" w:hint="default"/>
      </w:rPr>
    </w:lvl>
    <w:lvl w:ilvl="3" w:tplc="FE083F62" w:tentative="1">
      <w:start w:val="1"/>
      <w:numFmt w:val="bullet"/>
      <w:lvlText w:val=""/>
      <w:lvlJc w:val="left"/>
      <w:pPr>
        <w:ind w:left="2880" w:hanging="360"/>
      </w:pPr>
      <w:rPr>
        <w:rFonts w:ascii="Symbol" w:hAnsi="Symbol" w:hint="default"/>
      </w:rPr>
    </w:lvl>
    <w:lvl w:ilvl="4" w:tplc="DF68124C" w:tentative="1">
      <w:start w:val="1"/>
      <w:numFmt w:val="bullet"/>
      <w:lvlText w:val="o"/>
      <w:lvlJc w:val="left"/>
      <w:pPr>
        <w:ind w:left="3600" w:hanging="360"/>
      </w:pPr>
      <w:rPr>
        <w:rFonts w:ascii="Courier New" w:hAnsi="Courier New" w:cs="Courier New" w:hint="default"/>
      </w:rPr>
    </w:lvl>
    <w:lvl w:ilvl="5" w:tplc="3EDC01D2" w:tentative="1">
      <w:start w:val="1"/>
      <w:numFmt w:val="bullet"/>
      <w:lvlText w:val=""/>
      <w:lvlJc w:val="left"/>
      <w:pPr>
        <w:ind w:left="4320" w:hanging="360"/>
      </w:pPr>
      <w:rPr>
        <w:rFonts w:ascii="Wingdings" w:hAnsi="Wingdings" w:hint="default"/>
      </w:rPr>
    </w:lvl>
    <w:lvl w:ilvl="6" w:tplc="33FA4FCE" w:tentative="1">
      <w:start w:val="1"/>
      <w:numFmt w:val="bullet"/>
      <w:lvlText w:val=""/>
      <w:lvlJc w:val="left"/>
      <w:pPr>
        <w:ind w:left="5040" w:hanging="360"/>
      </w:pPr>
      <w:rPr>
        <w:rFonts w:ascii="Symbol" w:hAnsi="Symbol" w:hint="default"/>
      </w:rPr>
    </w:lvl>
    <w:lvl w:ilvl="7" w:tplc="FCDC1B10" w:tentative="1">
      <w:start w:val="1"/>
      <w:numFmt w:val="bullet"/>
      <w:lvlText w:val="o"/>
      <w:lvlJc w:val="left"/>
      <w:pPr>
        <w:ind w:left="5760" w:hanging="360"/>
      </w:pPr>
      <w:rPr>
        <w:rFonts w:ascii="Courier New" w:hAnsi="Courier New" w:cs="Courier New" w:hint="default"/>
      </w:rPr>
    </w:lvl>
    <w:lvl w:ilvl="8" w:tplc="AC20DD48"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F24F8"/>
    <w:rsid w:val="00040961"/>
    <w:rsid w:val="00276D22"/>
    <w:rsid w:val="002B5CF0"/>
    <w:rsid w:val="00303DC0"/>
    <w:rsid w:val="004E4DA3"/>
    <w:rsid w:val="00521BC1"/>
    <w:rsid w:val="0059757C"/>
    <w:rsid w:val="00697B38"/>
    <w:rsid w:val="006B54C2"/>
    <w:rsid w:val="006B7FE2"/>
    <w:rsid w:val="006F5ECA"/>
    <w:rsid w:val="006F76FB"/>
    <w:rsid w:val="007E47AB"/>
    <w:rsid w:val="008638C6"/>
    <w:rsid w:val="008D2571"/>
    <w:rsid w:val="008F24F8"/>
    <w:rsid w:val="00981586"/>
    <w:rsid w:val="009A4982"/>
    <w:rsid w:val="00A03F77"/>
    <w:rsid w:val="00BF6E44"/>
    <w:rsid w:val="00D209BB"/>
    <w:rsid w:val="00DD04D7"/>
    <w:rsid w:val="00E47081"/>
    <w:rsid w:val="00EA5E72"/>
    <w:rsid w:val="00F0725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47A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F24F8"/>
    <w:pPr>
      <w:ind w:left="720"/>
      <w:contextualSpacing/>
    </w:pPr>
  </w:style>
  <w:style w:type="character" w:styleId="Hyperlink">
    <w:name w:val="Hyperlink"/>
    <w:basedOn w:val="DefaultParagraphFont"/>
    <w:uiPriority w:val="99"/>
    <w:unhideWhenUsed/>
    <w:rsid w:val="008F24F8"/>
    <w:rPr>
      <w:color w:val="0000FF"/>
      <w:u w:val="single"/>
    </w:rPr>
  </w:style>
  <w:style w:type="paragraph" w:styleId="NormalWeb">
    <w:name w:val="Normal (Web)"/>
    <w:basedOn w:val="Normal"/>
    <w:uiPriority w:val="99"/>
    <w:unhideWhenUsed/>
    <w:rsid w:val="008F24F8"/>
    <w:pPr>
      <w:spacing w:before="100" w:beforeAutospacing="1" w:after="100" w:afterAutospacing="1" w:line="240" w:lineRule="auto"/>
    </w:pPr>
    <w:rPr>
      <w:rFonts w:ascii="Times New Roman" w:hAnsi="Times New Roman" w:cs="Times New Roman"/>
      <w:sz w:val="24"/>
      <w:szCs w:val="24"/>
    </w:rPr>
  </w:style>
  <w:style w:type="character" w:customStyle="1" w:styleId="mceitemhiddenspellword">
    <w:name w:val="mceitemhiddenspellword"/>
    <w:basedOn w:val="DefaultParagraphFont"/>
    <w:rsid w:val="008F24F8"/>
  </w:style>
  <w:style w:type="character" w:customStyle="1" w:styleId="UnresolvedMention1">
    <w:name w:val="Unresolved Mention1"/>
    <w:basedOn w:val="DefaultParagraphFont"/>
    <w:uiPriority w:val="99"/>
    <w:semiHidden/>
    <w:unhideWhenUsed/>
    <w:rsid w:val="00697B38"/>
    <w:rPr>
      <w:color w:val="605E5C"/>
      <w:shd w:val="clear" w:color="auto" w:fill="E1DFDD"/>
    </w:rPr>
  </w:style>
  <w:style w:type="paragraph" w:styleId="Header">
    <w:name w:val="header"/>
    <w:basedOn w:val="Normal"/>
    <w:link w:val="HeaderChar"/>
    <w:uiPriority w:val="99"/>
    <w:unhideWhenUsed/>
    <w:rsid w:val="004E4DA3"/>
    <w:pPr>
      <w:tabs>
        <w:tab w:val="center" w:pos="4513"/>
        <w:tab w:val="right" w:pos="9026"/>
      </w:tabs>
      <w:spacing w:after="0" w:line="240" w:lineRule="auto"/>
    </w:pPr>
  </w:style>
  <w:style w:type="character" w:customStyle="1" w:styleId="HeaderChar">
    <w:name w:val="Header Char"/>
    <w:basedOn w:val="DefaultParagraphFont"/>
    <w:link w:val="Header"/>
    <w:uiPriority w:val="99"/>
    <w:rsid w:val="004E4DA3"/>
  </w:style>
  <w:style w:type="paragraph" w:styleId="Footer">
    <w:name w:val="footer"/>
    <w:basedOn w:val="Normal"/>
    <w:link w:val="FooterChar"/>
    <w:uiPriority w:val="99"/>
    <w:unhideWhenUsed/>
    <w:rsid w:val="004E4DA3"/>
    <w:pPr>
      <w:tabs>
        <w:tab w:val="center" w:pos="4513"/>
        <w:tab w:val="right" w:pos="9026"/>
      </w:tabs>
      <w:spacing w:after="0" w:line="240" w:lineRule="auto"/>
    </w:pPr>
  </w:style>
  <w:style w:type="character" w:customStyle="1" w:styleId="FooterChar">
    <w:name w:val="Footer Char"/>
    <w:basedOn w:val="DefaultParagraphFont"/>
    <w:link w:val="Footer"/>
    <w:uiPriority w:val="99"/>
    <w:rsid w:val="004E4DA3"/>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hrq.gov/prevention/guidelines/index.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cms.gov/"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doi.org/10.1097/HCO.0000000000000178" TargetMode="External"/><Relationship Id="rId4" Type="http://schemas.openxmlformats.org/officeDocument/2006/relationships/webSettings" Target="webSettings.xml"/><Relationship Id="rId9" Type="http://schemas.openxmlformats.org/officeDocument/2006/relationships/hyperlink" Target="https://doi.org/10.1016/j.jaip.2015.06.02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1436</Words>
  <Characters>8191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Kevin</cp:lastModifiedBy>
  <cp:revision>2</cp:revision>
  <dcterms:created xsi:type="dcterms:W3CDTF">2020-10-21T20:40:00Z</dcterms:created>
  <dcterms:modified xsi:type="dcterms:W3CDTF">2020-10-21T20:40:00Z</dcterms:modified>
</cp:coreProperties>
</file>